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1" w:firstLineChars="100"/>
        <w:rPr>
          <w:rFonts w:hint="eastAsia" w:ascii="仿宋_GB2312" w:hAnsi="Times New Roman" w:eastAsia="仿宋_GB2312"/>
          <w:b/>
          <w:bCs/>
          <w:sz w:val="36"/>
          <w:szCs w:val="36"/>
        </w:rPr>
      </w:pPr>
    </w:p>
    <w:p>
      <w:pPr>
        <w:ind w:firstLine="361" w:firstLineChars="100"/>
        <w:rPr>
          <w:rFonts w:hint="eastAsia" w:ascii="仿宋_GB2312" w:hAnsi="Times New Roman" w:eastAsia="仿宋_GB2312"/>
          <w:b/>
          <w:bCs/>
          <w:sz w:val="36"/>
          <w:szCs w:val="36"/>
        </w:rPr>
      </w:pPr>
      <w:r>
        <w:rPr>
          <w:rFonts w:hint="eastAsia" w:ascii="仿宋_GB2312" w:hAnsi="Times New Roman" w:eastAsia="仿宋_GB2312"/>
          <w:b/>
          <w:bCs/>
          <w:sz w:val="36"/>
          <w:szCs w:val="36"/>
        </w:rPr>
        <w:t>世界地质公园网络——2019年地质公园年度报告</w:t>
      </w:r>
    </w:p>
    <w:p>
      <w:pPr>
        <w:ind w:firstLine="361" w:firstLineChars="100"/>
        <w:rPr>
          <w:rFonts w:hint="eastAsia" w:ascii="仿宋_GB2312" w:hAnsi="Times New Roman" w:eastAsia="仿宋_GB2312"/>
          <w:b/>
          <w:bCs/>
          <w:sz w:val="36"/>
          <w:szCs w:val="36"/>
        </w:rPr>
      </w:pPr>
    </w:p>
    <w:p>
      <w:pPr>
        <w:spacing w:line="320" w:lineRule="exact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一、地质公园名称、国家、区域网络：</w:t>
      </w:r>
      <w:r>
        <w:rPr>
          <w:rFonts w:hint="eastAsia" w:ascii="仿宋_GB2312" w:hAnsi="Times New Roman" w:eastAsia="仿宋_GB2312"/>
          <w:sz w:val="32"/>
          <w:szCs w:val="32"/>
        </w:rPr>
        <w:t xml:space="preserve"> 雁荡山联合国教科文组织世界地质公园（中国、亚太地质公园网络）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加入年份/上次再评估年份：</w:t>
      </w:r>
      <w:r>
        <w:rPr>
          <w:rFonts w:hint="eastAsia" w:ascii="仿宋_GB2312" w:hAnsi="Times New Roman" w:eastAsia="仿宋_GB2312"/>
          <w:sz w:val="32"/>
          <w:szCs w:val="32"/>
        </w:rPr>
        <w:t>2005年/2017年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代表性照片（本年度最重要活动的照片）</w:t>
      </w:r>
    </w:p>
    <w:p>
      <w:pPr>
        <w:rPr>
          <w:rFonts w:hint="eastAsia" w:ascii="Arial" w:hAnsi="Arial" w:cs="Arial"/>
          <w:color w:val="000000"/>
          <w:sz w:val="22"/>
          <w:szCs w:val="22"/>
        </w:rPr>
      </w:pPr>
      <w:r>
        <w:drawing>
          <wp:inline distT="0" distB="0" distL="114300" distR="114300">
            <wp:extent cx="5273675" cy="264160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="Arial"/>
          <w:color w:val="000000"/>
          <w:sz w:val="22"/>
          <w:szCs w:val="22"/>
          <w:lang w:val="en-US" w:eastAsia="zh-CN"/>
        </w:rPr>
      </w:pP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 xml:space="preserve">                    举办第50个世界地球日活动</w:t>
      </w:r>
    </w:p>
    <w:p>
      <w:pPr>
        <w:rPr>
          <w:rFonts w:ascii="Arial" w:hAnsi="Arial" w:cs="Arial"/>
          <w:color w:val="000000"/>
          <w:sz w:val="22"/>
          <w:szCs w:val="22"/>
        </w:rPr>
      </w:pPr>
    </w:p>
    <w:p>
      <w:pPr>
        <w:rPr>
          <w:rFonts w:hint="eastAsia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二、地质公园数据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员工人数：</w:t>
      </w:r>
      <w:r>
        <w:rPr>
          <w:rFonts w:hint="eastAsia" w:ascii="仿宋_GB2312" w:hAnsi="Times New Roman" w:eastAsia="仿宋_GB2312"/>
          <w:sz w:val="32"/>
          <w:szCs w:val="32"/>
        </w:rPr>
        <w:t xml:space="preserve"> 1278人，含3名地学家    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游客人数：</w:t>
      </w:r>
      <w:r>
        <w:rPr>
          <w:rFonts w:hint="eastAsia" w:ascii="仿宋_GB2312" w:hAnsi="Times New Roman" w:eastAsia="仿宋_GB2312"/>
          <w:sz w:val="32"/>
          <w:szCs w:val="32"/>
        </w:rPr>
        <w:t xml:space="preserve">910万人次    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活动次数：</w:t>
      </w:r>
      <w:r>
        <w:rPr>
          <w:rFonts w:hint="eastAsia" w:ascii="仿宋_GB2312" w:hAnsi="Times New Roman" w:eastAsia="仿宋_GB2312"/>
          <w:sz w:val="32"/>
          <w:szCs w:val="32"/>
        </w:rPr>
        <w:t>25次</w:t>
      </w:r>
    </w:p>
    <w:p>
      <w:pP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开展地质公园教育计划的学校班级数：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有30个班级。</w:t>
      </w:r>
    </w:p>
    <w:p>
      <w:pP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地质公园发表新闻稿数量：</w:t>
      </w:r>
      <w:r>
        <w:rPr>
          <w:rFonts w:hint="eastAsia" w:ascii="仿宋_GB2312" w:hAnsi="Times New Roman" w:eastAsia="仿宋_GB2312"/>
          <w:b w:val="0"/>
          <w:bCs w:val="0"/>
          <w:sz w:val="32"/>
          <w:szCs w:val="32"/>
          <w:lang w:val="en-US" w:eastAsia="zh-CN"/>
        </w:rPr>
        <w:t>25篇。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 xml:space="preserve">三、地质公园活动    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2019年主要成就：</w:t>
      </w:r>
    </w:p>
    <w:p>
      <w:pPr>
        <w:rPr>
          <w:rFonts w:hint="eastAsia" w:ascii="宋体" w:hAnsi="宋体" w:cs="Times New Roman"/>
          <w:b/>
          <w:bCs/>
          <w:sz w:val="21"/>
          <w:szCs w:val="21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Times New Roman" w:eastAsia="仿宋_GB2312"/>
          <w:sz w:val="32"/>
          <w:szCs w:val="32"/>
        </w:rPr>
        <w:t>建设完成雁荡山游客中心，并投入运营，同时改造提升公园入口处形象，实现内部交通一体化运营管理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。</w:t>
      </w:r>
      <w:r>
        <w:rPr>
          <w:rFonts w:hint="eastAsia" w:ascii="Times New Roman" w:hAnsi="Times New Roman" w:cs="Times New Roman"/>
          <w:sz w:val="21"/>
          <w:szCs w:val="21"/>
        </w:rPr>
        <w:t xml:space="preserve">  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、</w:t>
      </w:r>
      <w:r>
        <w:rPr>
          <w:rFonts w:hint="eastAsia" w:ascii="仿宋_GB2312" w:hAnsi="Times New Roman" w:eastAsia="仿宋_GB2312"/>
          <w:sz w:val="32"/>
          <w:szCs w:val="32"/>
        </w:rPr>
        <w:t>组织举办了第50个以“珍爱美丽地球 守护自然资源”为主题的“世界地球日”科普宣传周活动，组织雁荡镇一小、雁荡镇五小的近千名学生参与朗诵《梦溪笔谈</w:t>
      </w:r>
      <w:r>
        <w:rPr>
          <w:rFonts w:hint="eastAsia" w:ascii="宋体" w:hAnsi="宋体"/>
          <w:sz w:val="32"/>
          <w:szCs w:val="32"/>
        </w:rPr>
        <w:t>˙</w:t>
      </w:r>
      <w:r>
        <w:rPr>
          <w:rFonts w:hint="eastAsia" w:ascii="仿宋_GB2312" w:hAnsi="仿宋_GB2312" w:eastAsia="仿宋_GB2312" w:cs="仿宋_GB2312"/>
          <w:sz w:val="32"/>
          <w:szCs w:val="32"/>
        </w:rPr>
        <w:t>雁荡山》，以及拍摄快闪《我和我的祖国》等系列科普活动，</w:t>
      </w:r>
      <w:r>
        <w:rPr>
          <w:rFonts w:hint="eastAsia" w:ascii="仿宋_GB2312" w:hAnsi="Times New Roman" w:eastAsia="仿宋_GB2312"/>
          <w:sz w:val="32"/>
          <w:szCs w:val="32"/>
        </w:rPr>
        <w:t xml:space="preserve"> 并向游客分发科普宣传资料10000多份。</w:t>
      </w:r>
    </w:p>
    <w:p>
      <w:pPr>
        <w:rPr>
          <w:rFonts w:hint="eastAsia" w:ascii="仿宋_GB2312" w:hAnsi="Times New Roman" w:eastAsia="仿宋_GB2312"/>
          <w:sz w:val="32"/>
          <w:szCs w:val="32"/>
          <w:lang w:eastAsia="zh-CN"/>
        </w:rPr>
      </w:pPr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val="en-US" w:eastAsia="zh-CN"/>
        </w:rPr>
        <w:t>3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、</w:t>
      </w:r>
      <w:r>
        <w:rPr>
          <w:rFonts w:hint="eastAsia" w:ascii="仿宋_GB2312" w:hAnsi="Times New Roman" w:eastAsia="仿宋_GB2312"/>
          <w:sz w:val="32"/>
          <w:szCs w:val="32"/>
        </w:rPr>
        <w:t>在南京师范大学开展“雁荡山世界地质公园科普进高校”科普讲座活动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4、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开展同</w:t>
      </w:r>
      <w:r>
        <w:rPr>
          <w:rFonts w:hint="eastAsia" w:ascii="宋体" w:hAnsi="宋体" w:cs="Times New Roman"/>
          <w:sz w:val="21"/>
          <w:szCs w:val="21"/>
        </w:rPr>
        <w:t>香港青年地质保育大使</w:t>
      </w:r>
      <w:r>
        <w:rPr>
          <w:rFonts w:hint="eastAsia" w:ascii="宋体" w:hAnsi="宋体" w:cs="Times New Roman"/>
          <w:sz w:val="21"/>
          <w:szCs w:val="21"/>
          <w:lang w:eastAsia="zh-CN"/>
        </w:rPr>
        <w:t>、</w:t>
      </w:r>
      <w:r>
        <w:rPr>
          <w:rFonts w:hint="eastAsia" w:ascii="仿宋_GB2312" w:hAnsi="Times New Roman" w:eastAsia="仿宋_GB2312"/>
          <w:sz w:val="32"/>
          <w:szCs w:val="32"/>
        </w:rPr>
        <w:t>浙江大学地质系的学生来雁荡山开展野外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研学</w:t>
      </w:r>
      <w:r>
        <w:rPr>
          <w:rFonts w:hint="eastAsia" w:ascii="仿宋_GB2312" w:hAnsi="Times New Roman" w:eastAsia="仿宋_GB2312"/>
          <w:sz w:val="32"/>
          <w:szCs w:val="32"/>
        </w:rPr>
        <w:t>实习</w:t>
      </w:r>
      <w:r>
        <w:rPr>
          <w:rFonts w:hint="eastAsia" w:ascii="仿宋_GB2312" w:hAnsi="Times New Roman" w:eastAsia="仿宋_GB2312"/>
          <w:sz w:val="32"/>
          <w:szCs w:val="32"/>
          <w:lang w:eastAsia="zh-CN"/>
        </w:rPr>
        <w:t>活动</w:t>
      </w:r>
      <w:r>
        <w:rPr>
          <w:rFonts w:hint="eastAsia" w:ascii="仿宋_GB2312" w:hAnsi="Times New Roman" w:eastAsia="仿宋_GB2312"/>
          <w:sz w:val="32"/>
          <w:szCs w:val="32"/>
        </w:rPr>
        <w:t>。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、</w:t>
      </w:r>
      <w:r>
        <w:rPr>
          <w:rFonts w:hint="eastAsia" w:ascii="仿宋_GB2312" w:hAnsi="Times New Roman" w:eastAsia="仿宋_GB2312"/>
          <w:sz w:val="32"/>
          <w:szCs w:val="32"/>
        </w:rPr>
        <w:t>开展“地质遗迹科普教育”系列活动，开展“我是小小地质家”科普教育活动。</w:t>
      </w:r>
    </w:p>
    <w:p>
      <w:r>
        <w:rPr>
          <w:rFonts w:hint="eastAsia" w:ascii="楷体_GB2312" w:hAnsi="Times New Roman" w:eastAsia="楷体_GB2312" w:cs="Times New Roman"/>
          <w:b/>
          <w:bCs/>
          <w:sz w:val="32"/>
          <w:szCs w:val="32"/>
          <w:lang w:val="en-US" w:eastAsia="zh-CN"/>
        </w:rPr>
        <w:t>6</w:t>
      </w:r>
      <w:r>
        <w:rPr>
          <w:rFonts w:hint="eastAsia" w:ascii="楷体_GB2312" w:hAnsi="Times New Roman" w:eastAsia="楷体_GB2312" w:cs="Times New Roman"/>
          <w:b/>
          <w:bCs/>
          <w:sz w:val="32"/>
          <w:szCs w:val="32"/>
        </w:rPr>
        <w:t>、</w:t>
      </w:r>
      <w:r>
        <w:rPr>
          <w:rFonts w:hint="eastAsia" w:ascii="仿宋_GB2312" w:hAnsi="Times New Roman" w:eastAsia="仿宋_GB2312"/>
          <w:sz w:val="32"/>
          <w:szCs w:val="32"/>
        </w:rPr>
        <w:t>协助中央电视台拍摄《火山地质遗迹宣传片》在雁荡山世界地质公园的拍摄工作。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对GGN的贡献——网络活动和参与：</w:t>
      </w:r>
    </w:p>
    <w:p>
      <w:pPr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Times New Roman" w:eastAsia="仿宋_GB2312"/>
          <w:sz w:val="32"/>
          <w:szCs w:val="32"/>
        </w:rPr>
        <w:t>参加中国世界地质公园在敦煌世界地质公园举办的2019年度会议。</w:t>
      </w:r>
    </w:p>
    <w:p>
      <w:r>
        <w:rPr>
          <w:rFonts w:hint="eastAsia" w:ascii="仿宋_GB2312" w:hAnsi="Times New Roman" w:eastAsia="仿宋_GB2312"/>
          <w:sz w:val="32"/>
          <w:szCs w:val="32"/>
        </w:rPr>
        <w:t>2、参加在阿尔山世界地质公园举办的世界地质公园建设发展研讨会。</w:t>
      </w:r>
    </w:p>
    <w:p>
      <w:pPr>
        <w:rPr>
          <w:rFonts w:hint="eastAsia" w:ascii="宋体" w:hAnsi="宋体" w:cs="Times New Roman"/>
          <w:sz w:val="21"/>
          <w:szCs w:val="21"/>
        </w:rPr>
      </w:pPr>
      <w:r>
        <w:rPr>
          <w:rFonts w:hint="eastAsia" w:ascii="宋体" w:hAnsi="宋体" w:cs="Times New Roman"/>
          <w:sz w:val="21"/>
          <w:szCs w:val="21"/>
        </w:rPr>
        <w:t>3、</w:t>
      </w:r>
      <w:r>
        <w:rPr>
          <w:rFonts w:hint="eastAsia" w:ascii="仿宋_GB2312" w:hAnsi="Times New Roman" w:eastAsia="仿宋_GB2312" w:cs="Times New Roman"/>
          <w:sz w:val="32"/>
          <w:szCs w:val="32"/>
        </w:rPr>
        <w:t>加强与国内外世界地质公园的沟通与联系，开展与三清山、黄冈大别山、克什克腾等世界地质公园进行互访交流，并与三清山、克什克腾等世界地质公园正式签订姐妹公园合作协议，在科普、科研、管理等方面将开展合作交流。</w:t>
      </w:r>
    </w:p>
    <w:p>
      <w:pPr>
        <w:rPr>
          <w:rFonts w:hint="eastAsia" w:ascii="宋体" w:hAnsi="宋体" w:cs="Times New Roman"/>
          <w:sz w:val="21"/>
          <w:szCs w:val="21"/>
        </w:rPr>
      </w:pPr>
    </w:p>
    <w:p>
      <w:pPr>
        <w:rPr>
          <w:rFonts w:hint="eastAsia" w:ascii="宋体" w:hAnsi="宋体" w:cs="Times New Roman"/>
          <w:b/>
          <w:bCs/>
          <w:sz w:val="21"/>
          <w:szCs w:val="21"/>
        </w:rPr>
      </w:pP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管理和财务状况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管理机构：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成立雁荡山世界地质公园管理委员会，下设办公室为日常工作管理机构，全面行使管理、保护雁荡山地质遗迹职能。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财务状况：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财务状况良好，公园具有独立的经费预算，负责编制年度预算。经费主要来自公园的门票收入和上级政府的专项经费。2019年门票收入1.7亿元，投入1.12亿元用于公园管理建设。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</w:p>
    <w:p>
      <w:pPr>
        <w:rPr>
          <w:rFonts w:ascii="宋体" w:hAnsi="宋体"/>
          <w:kern w:val="2"/>
          <w:sz w:val="21"/>
          <w:szCs w:val="21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地质遗迹保护：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2019年公园在地质遗迹保护方面共投入8000多万元，主要用于园区游客中心、游步道、标识系统、保护设施、森林防火工程建设等基础设施建设。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可持续旅游（地学旅游）：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公园的地质旅游发展，促进了传统经济结构转型升级，不仅农业人口不断转化为旅游从业人员，新增旅游服务类长期工作岗位2000多个，当地周边乡镇的人员大多都受益于地质旅游带来的经济效益；开辟3条研学游和自驾游线路；以“旅游+养生”为主题，举办“雁荡山康养乡村游”惠民活动，推出5条“康养乡村游”精品路线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有关地质遗迹保护、可持续发展和减少灾害风险的新教育计划：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组织开展 “4•22世界地球日”、 “科普进社区”、“科普进校园”、“研学游夏令营” 、“国际减灾日”主题教育知识宣传活动等科普活动20余场。对雁荡山的地质遗迹实施实时监控管理，定期开展地质监测及灾害预报工作，开展地质灾害点和地质灾害隐患点的巡查和监管。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战略合作伙伴：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与国际工程地质与环境学会岩土体结构性委员会、中国地质科学院、浙江省地质调查研究院、浙江省地质矿产研究所等多个科研院校合作开展地学研究；与全国的120多家旅游社合作开展地学旅游宣传推广；与携程网、驴妈妈等互联网媒体合作开展地质公园网络推广；与聚优品、雁荡山毛峰、雁荡山铁枫堂石斛、泉水叮咚等当地企业建立合作伙伴关系。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宣传推广活动：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在《中国旅游报》、《中国摄影报》、《乐清日报》、《温州日报》、《江南游报》、《今日浙江》等做专题专版宣传；在今日头条、马蜂窝网、携程网以及合作的报刊杂志的网络与官方微信等媒体进行宣传；参加2019中国国际旅游交易会（昆明）、2019 浙江(江苏)旅游交易会、2019宁波国际旅游交易博览会；参加浙东南联合体组织的“活力浙东南·山海冰雪齐相会”哈尔滨旅游推介会，并加大在长三角、珠三角及福州厦门的促销和媒介宣传力度；举办2019年第六届长三角运动休闲季浙江（乐清站）活动暨雁荡山荧光健身徒步大会，近两千名徒步爱好者参加；联合举办第五届全国大学生赛艇锦标赛和2019全国飞拉达争霸赛。</w:t>
      </w:r>
    </w:p>
    <w:p>
      <w:pPr>
        <w:spacing w:line="320" w:lineRule="exact"/>
        <w:rPr>
          <w:rFonts w:hint="eastAsia" w:ascii="宋体" w:hAnsi="宋体" w:cs="Times New Roman"/>
          <w:sz w:val="21"/>
          <w:szCs w:val="21"/>
        </w:rPr>
      </w:pPr>
      <w:r>
        <w:rPr>
          <w:rFonts w:hint="eastAsia" w:ascii="宋体" w:hAnsi="宋体" w:cs="Times New Roman"/>
          <w:sz w:val="21"/>
          <w:szCs w:val="21"/>
        </w:rPr>
        <w:t xml:space="preserve"> </w:t>
      </w:r>
    </w:p>
    <w:p>
      <w:pPr>
        <w:spacing w:line="320" w:lineRule="exact"/>
        <w:rPr>
          <w:rFonts w:hint="eastAsia" w:ascii="宋体" w:hAnsi="宋体" w:cs="Times New Roman"/>
          <w:sz w:val="21"/>
          <w:szCs w:val="21"/>
        </w:rPr>
      </w:pPr>
      <w:r>
        <w:rPr>
          <w:rFonts w:hint="eastAsia" w:ascii="宋体" w:hAnsi="宋体" w:cs="Times New Roman"/>
          <w:sz w:val="21"/>
          <w:szCs w:val="21"/>
        </w:rPr>
        <w:t xml:space="preserve"> </w:t>
      </w:r>
    </w:p>
    <w:p>
      <w:pP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b/>
          <w:bCs/>
          <w:sz w:val="32"/>
          <w:szCs w:val="32"/>
          <w:lang w:val="en-US" w:eastAsia="zh-CN"/>
        </w:rPr>
        <w:t>四、联系人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 xml:space="preserve">管理者姓名:黄靖        电子邮件地址：361059978@qq.com </w:t>
      </w:r>
    </w:p>
    <w:p>
      <w:pPr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地质学家：吴振扬、贺振宇、孙文燕</w:t>
      </w:r>
    </w:p>
    <w:p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3AA1"/>
    <w:rsid w:val="000001B3"/>
    <w:rsid w:val="000411D6"/>
    <w:rsid w:val="00043EF3"/>
    <w:rsid w:val="0004560A"/>
    <w:rsid w:val="00045E28"/>
    <w:rsid w:val="00046B6E"/>
    <w:rsid w:val="0007499D"/>
    <w:rsid w:val="00074CFC"/>
    <w:rsid w:val="000B433E"/>
    <w:rsid w:val="000B4E45"/>
    <w:rsid w:val="000B57D7"/>
    <w:rsid w:val="000D2C96"/>
    <w:rsid w:val="0011630E"/>
    <w:rsid w:val="00140636"/>
    <w:rsid w:val="001553E5"/>
    <w:rsid w:val="001641DF"/>
    <w:rsid w:val="00172318"/>
    <w:rsid w:val="001A3F64"/>
    <w:rsid w:val="001D28AE"/>
    <w:rsid w:val="001D7B23"/>
    <w:rsid w:val="001E33A3"/>
    <w:rsid w:val="002124B0"/>
    <w:rsid w:val="0022056C"/>
    <w:rsid w:val="0023543C"/>
    <w:rsid w:val="0024015C"/>
    <w:rsid w:val="00241350"/>
    <w:rsid w:val="002469D1"/>
    <w:rsid w:val="00246EFC"/>
    <w:rsid w:val="00284229"/>
    <w:rsid w:val="00287F3F"/>
    <w:rsid w:val="00296C81"/>
    <w:rsid w:val="002A3C51"/>
    <w:rsid w:val="002B34E8"/>
    <w:rsid w:val="002C17EB"/>
    <w:rsid w:val="002D607E"/>
    <w:rsid w:val="002E0A65"/>
    <w:rsid w:val="002E3209"/>
    <w:rsid w:val="002F0D57"/>
    <w:rsid w:val="00322B14"/>
    <w:rsid w:val="00340ADF"/>
    <w:rsid w:val="0034416E"/>
    <w:rsid w:val="003503A4"/>
    <w:rsid w:val="003519B6"/>
    <w:rsid w:val="003934A7"/>
    <w:rsid w:val="00397B93"/>
    <w:rsid w:val="003A214B"/>
    <w:rsid w:val="003A78A2"/>
    <w:rsid w:val="003D4CE6"/>
    <w:rsid w:val="003E0229"/>
    <w:rsid w:val="003E03F9"/>
    <w:rsid w:val="003F1D90"/>
    <w:rsid w:val="00413BB0"/>
    <w:rsid w:val="00415193"/>
    <w:rsid w:val="00423A2E"/>
    <w:rsid w:val="00426DF9"/>
    <w:rsid w:val="00450FC0"/>
    <w:rsid w:val="0045657C"/>
    <w:rsid w:val="004621C3"/>
    <w:rsid w:val="004D00F5"/>
    <w:rsid w:val="004D3261"/>
    <w:rsid w:val="004D5D3B"/>
    <w:rsid w:val="004D7A1C"/>
    <w:rsid w:val="004E3F12"/>
    <w:rsid w:val="004E5847"/>
    <w:rsid w:val="00531872"/>
    <w:rsid w:val="00563AA1"/>
    <w:rsid w:val="00572AB1"/>
    <w:rsid w:val="00575A16"/>
    <w:rsid w:val="0058037D"/>
    <w:rsid w:val="00597FC0"/>
    <w:rsid w:val="005B5B13"/>
    <w:rsid w:val="005C0AEC"/>
    <w:rsid w:val="005C1EB1"/>
    <w:rsid w:val="005C5009"/>
    <w:rsid w:val="005E6697"/>
    <w:rsid w:val="0060093E"/>
    <w:rsid w:val="006024F2"/>
    <w:rsid w:val="00605BDC"/>
    <w:rsid w:val="00606DB1"/>
    <w:rsid w:val="00615927"/>
    <w:rsid w:val="00616A50"/>
    <w:rsid w:val="00620ECB"/>
    <w:rsid w:val="00646D63"/>
    <w:rsid w:val="00665641"/>
    <w:rsid w:val="00685EAE"/>
    <w:rsid w:val="006A4B65"/>
    <w:rsid w:val="006B1FB3"/>
    <w:rsid w:val="006B50F0"/>
    <w:rsid w:val="006D0AE0"/>
    <w:rsid w:val="006D4A28"/>
    <w:rsid w:val="006F01A3"/>
    <w:rsid w:val="007162FE"/>
    <w:rsid w:val="00724D42"/>
    <w:rsid w:val="00734B3F"/>
    <w:rsid w:val="0076105F"/>
    <w:rsid w:val="007747AF"/>
    <w:rsid w:val="0078212C"/>
    <w:rsid w:val="007B04E0"/>
    <w:rsid w:val="007B12C8"/>
    <w:rsid w:val="007B432F"/>
    <w:rsid w:val="007B694A"/>
    <w:rsid w:val="007D5B10"/>
    <w:rsid w:val="00803B06"/>
    <w:rsid w:val="00813E73"/>
    <w:rsid w:val="00842615"/>
    <w:rsid w:val="00844232"/>
    <w:rsid w:val="008511A2"/>
    <w:rsid w:val="00871620"/>
    <w:rsid w:val="00872FA6"/>
    <w:rsid w:val="00881DFF"/>
    <w:rsid w:val="008901F4"/>
    <w:rsid w:val="008C2039"/>
    <w:rsid w:val="008E059A"/>
    <w:rsid w:val="008E4EAD"/>
    <w:rsid w:val="008E5391"/>
    <w:rsid w:val="008F347E"/>
    <w:rsid w:val="00902F06"/>
    <w:rsid w:val="00904AE7"/>
    <w:rsid w:val="00920A6E"/>
    <w:rsid w:val="00924537"/>
    <w:rsid w:val="00930EBF"/>
    <w:rsid w:val="00941F41"/>
    <w:rsid w:val="009544B5"/>
    <w:rsid w:val="00960C17"/>
    <w:rsid w:val="00967DA5"/>
    <w:rsid w:val="00972B77"/>
    <w:rsid w:val="00973078"/>
    <w:rsid w:val="009A5702"/>
    <w:rsid w:val="009A59BF"/>
    <w:rsid w:val="009B36A8"/>
    <w:rsid w:val="00A040ED"/>
    <w:rsid w:val="00A12D10"/>
    <w:rsid w:val="00A147E6"/>
    <w:rsid w:val="00A254C3"/>
    <w:rsid w:val="00A276EF"/>
    <w:rsid w:val="00A93389"/>
    <w:rsid w:val="00AE7DB5"/>
    <w:rsid w:val="00B02575"/>
    <w:rsid w:val="00B177F9"/>
    <w:rsid w:val="00B62EA6"/>
    <w:rsid w:val="00B67B37"/>
    <w:rsid w:val="00B743AF"/>
    <w:rsid w:val="00B86289"/>
    <w:rsid w:val="00B95E2E"/>
    <w:rsid w:val="00BA19F4"/>
    <w:rsid w:val="00BA2A6F"/>
    <w:rsid w:val="00BA3A2F"/>
    <w:rsid w:val="00BE7441"/>
    <w:rsid w:val="00C13116"/>
    <w:rsid w:val="00C24A13"/>
    <w:rsid w:val="00C3471E"/>
    <w:rsid w:val="00C71F93"/>
    <w:rsid w:val="00C83554"/>
    <w:rsid w:val="00C84E8C"/>
    <w:rsid w:val="00C907CE"/>
    <w:rsid w:val="00C9218A"/>
    <w:rsid w:val="00CA5D8D"/>
    <w:rsid w:val="00CB407C"/>
    <w:rsid w:val="00CC44CF"/>
    <w:rsid w:val="00D92872"/>
    <w:rsid w:val="00DA4B4C"/>
    <w:rsid w:val="00DF5E78"/>
    <w:rsid w:val="00E11124"/>
    <w:rsid w:val="00E13381"/>
    <w:rsid w:val="00E141C6"/>
    <w:rsid w:val="00E27870"/>
    <w:rsid w:val="00E344C4"/>
    <w:rsid w:val="00E459AB"/>
    <w:rsid w:val="00E62A13"/>
    <w:rsid w:val="00E65366"/>
    <w:rsid w:val="00E72106"/>
    <w:rsid w:val="00E96A13"/>
    <w:rsid w:val="00EC6900"/>
    <w:rsid w:val="00ED21A6"/>
    <w:rsid w:val="00EE742D"/>
    <w:rsid w:val="00EF0129"/>
    <w:rsid w:val="00F148CD"/>
    <w:rsid w:val="00F4021B"/>
    <w:rsid w:val="00F53541"/>
    <w:rsid w:val="00F748DE"/>
    <w:rsid w:val="00F81D80"/>
    <w:rsid w:val="00F95AF1"/>
    <w:rsid w:val="00FA1DD7"/>
    <w:rsid w:val="00FA373B"/>
    <w:rsid w:val="00FA7DF6"/>
    <w:rsid w:val="00FC0B5D"/>
    <w:rsid w:val="00FD58C1"/>
    <w:rsid w:val="00FE2618"/>
    <w:rsid w:val="19FA2517"/>
    <w:rsid w:val="3F951C79"/>
    <w:rsid w:val="7069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宋体" w:cs="宋体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customStyle="1" w:styleId="5">
    <w:name w:val="列出段落1"/>
    <w:basedOn w:val="1"/>
    <w:qFormat/>
    <w:uiPriority w:val="0"/>
    <w:pPr>
      <w:widowControl/>
      <w:ind w:firstLine="420" w:firstLineChars="200"/>
      <w:jc w:val="left"/>
    </w:pPr>
    <w:rPr>
      <w:rFonts w:ascii="Times New Roman" w:hAnsi="Times New Roman" w:cs="Times New Roman"/>
      <w:kern w:val="0"/>
    </w:rPr>
  </w:style>
  <w:style w:type="character" w:customStyle="1" w:styleId="6">
    <w:name w:val="批注框文本 Char"/>
    <w:basedOn w:val="4"/>
    <w:link w:val="2"/>
    <w:semiHidden/>
    <w:qFormat/>
    <w:uiPriority w:val="99"/>
    <w:rPr>
      <w:rFonts w:ascii="Century" w:hAnsi="Century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360</Words>
  <Characters>2058</Characters>
  <Lines>17</Lines>
  <Paragraphs>4</Paragraphs>
  <TotalTime>27</TotalTime>
  <ScaleCrop>false</ScaleCrop>
  <LinksUpToDate>false</LinksUpToDate>
  <CharactersWithSpaces>2414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2020-04-29T03:30:00Z</dcterms:created>
  <dc:creator>卢琴飞</dc:creator>
  <cp:lastModifiedBy>Administrator</cp:lastModifiedBy>
  <dcterms:modified xsi:type="dcterms:W3CDTF">2020-04-30T09:00:54Z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